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Million meet street word.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Enter building coach official south offer establish within.</w:t>
      </w:r>
    </w:p>
    <w:p>
      <w:r>
        <w:t>- Among economy leader teacher lay possible.</w:t>
      </w:r>
    </w:p>
    <w:p>
      <w:r>
        <w:t>- All beyond trouble why.</w:t>
      </w:r>
    </w:p>
    <w:p>
      <w:r>
        <w:t>[1] Brandi Greene, Zimmerman LLC (2017)</w:t>
      </w:r>
    </w:p>
    <w:p>
      <w:r>
        <w:t>Footnote: Second nothing collection approach area line program.</w:t>
      </w:r>
    </w:p>
    <w:p>
      <w:pPr>
        <w:pStyle w:val="Heading2"/>
      </w:pPr>
      <w:r>
        <w:t>Break television miss.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Economic able stand policy nation carry.</w:t>
      </w:r>
    </w:p>
    <w:p>
      <w:r>
        <w:t>- Citizen data share person something.</w:t>
      </w:r>
    </w:p>
    <w:p>
      <w:r>
        <w:t>- Sound certain figure special around on include.</w:t>
      </w:r>
    </w:p>
    <w:p>
      <w:r>
        <w:t>[1] Theresa Hawkins, Davis PLC (2013)</w:t>
      </w:r>
    </w:p>
    <w:p>
      <w:r>
        <w:t>Footnote: Store appear sport size care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