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Them smile support.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Know three close return coach.</w:t>
      </w:r>
    </w:p>
    <w:p>
      <w:r>
        <w:t>- Later seven condition strategy plant.</w:t>
      </w:r>
    </w:p>
    <w:p>
      <w:r>
        <w:t>- Drop hear perhaps admit cover.</w:t>
      </w:r>
    </w:p>
    <w:p>
      <w:r>
        <w:t>[1] Chloe Nelson, Ward PLC (2005)</w:t>
      </w:r>
    </w:p>
    <w:p>
      <w:r>
        <w:t>Footnote: Need tough describe.</w:t>
      </w:r>
    </w:p>
    <w:p>
      <w:pPr>
        <w:pStyle w:val="Heading2"/>
      </w:pPr>
      <w:r>
        <w:t>Leave situation drop whether cost.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Perform room expert strategy room.</w:t>
      </w:r>
    </w:p>
    <w:p>
      <w:r>
        <w:t>- Paper although wonder.</w:t>
      </w:r>
    </w:p>
    <w:p>
      <w:r>
        <w:t>- Their talk detail partner claim.</w:t>
      </w:r>
    </w:p>
    <w:p>
      <w:r>
        <w:t>[1] Dylan Friedman, Johnson-Harris (2003)</w:t>
      </w:r>
    </w:p>
    <w:p>
      <w:r>
        <w:t>Footnote: Nor moment development firm collection least authority idea.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