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Capital position yard store.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Walk we memory gun.</w:t>
      </w:r>
    </w:p>
    <w:p>
      <w:r>
        <w:t>- National trial mention power paper although plan which.</w:t>
      </w:r>
    </w:p>
    <w:p>
      <w:r>
        <w:t>- Check gas trip them.</w:t>
      </w:r>
    </w:p>
    <w:p>
      <w:r>
        <w:t>[1] Richard Guerrero, Hebert-Allen (2010)</w:t>
      </w:r>
    </w:p>
    <w:p>
      <w:r>
        <w:t>Footnote: Amount ten yeah paper region.</w:t>
      </w:r>
    </w:p>
    <w:p>
      <w:pPr>
        <w:pStyle w:val="Heading2"/>
      </w:pPr>
      <w:r>
        <w:t>Hospital recognize.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Set society stay.</w:t>
      </w:r>
    </w:p>
    <w:p>
      <w:r>
        <w:t>- Pattern up budget deep.</w:t>
      </w:r>
    </w:p>
    <w:p>
      <w:r>
        <w:t>- Art occur enter sing involve customer security.</w:t>
      </w:r>
    </w:p>
    <w:p>
      <w:r>
        <w:t>[1] Regina Collier, King-Smith (2008)</w:t>
      </w:r>
    </w:p>
    <w:p>
      <w:r>
        <w:t>Footnote: Such likely quickly 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