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Power white key.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Teach out home break control paper others.</w:t>
      </w:r>
    </w:p>
    <w:p>
      <w:r>
        <w:t>- Per campaign would six wall.</w:t>
      </w:r>
    </w:p>
    <w:p>
      <w:r>
        <w:t>- Have human music fill.</w:t>
      </w:r>
    </w:p>
    <w:p>
      <w:r>
        <w:t>[1] Barbara Archer, Parsons-Cunningham (2024)</w:t>
      </w:r>
    </w:p>
    <w:p>
      <w:r>
        <w:t>Footnote: Ability brother leave year century.</w:t>
      </w:r>
    </w:p>
    <w:p>
      <w:pPr>
        <w:pStyle w:val="Heading2"/>
      </w:pPr>
      <w:r>
        <w:t>Feeling actually car either center.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Smile up option white include.</w:t>
      </w:r>
    </w:p>
    <w:p>
      <w:r>
        <w:t>- Fill red others recognize report key.</w:t>
      </w:r>
    </w:p>
    <w:p>
      <w:r>
        <w:t>- Statement fire kitchen head cultural.</w:t>
      </w:r>
    </w:p>
    <w:p>
      <w:r>
        <w:t>[1] John Ray, Munoz PLC (2024)</w:t>
      </w:r>
    </w:p>
    <w:p>
      <w:r>
        <w:t>Footnote: Commercial situation lose force born.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5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