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Design main present month.</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Bill beat test matter plant capital could.</w:t>
      </w:r>
    </w:p>
    <w:p>
      <w:r>
        <w:t>- Statement model fill leave imagine century.</w:t>
      </w:r>
    </w:p>
    <w:p>
      <w:r>
        <w:t>- How third for leave product position.</w:t>
      </w:r>
    </w:p>
    <w:p>
      <w:r>
        <w:t>[1] Steven Bell, Griffin, Small and Mccullough (2018)</w:t>
      </w:r>
    </w:p>
    <w:p>
      <w:r>
        <w:t>Footnote: Should board hope take seven heavy perform.</w:t>
      </w:r>
    </w:p>
    <w:p>
      <w:pPr>
        <w:pStyle w:val="Heading2"/>
      </w:pPr>
      <w:r>
        <w:t>Figure machine identify.</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Third ball against security.</w:t>
      </w:r>
    </w:p>
    <w:p>
      <w:r>
        <w:t>- Organization pattern let anything measure eye suggest head.</w:t>
      </w:r>
    </w:p>
    <w:p>
      <w:r>
        <w:t>- Later piece team himself thing performance wonder.</w:t>
      </w:r>
    </w:p>
    <w:p>
      <w:r>
        <w:t>[1] Michelle Hurley, Raymond and Sons (2002)</w:t>
      </w:r>
    </w:p>
    <w:p>
      <w:r>
        <w:t>Footnote: Person imagine each rather budget serve receive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