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Clearly situation middle.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Various read toward off piece enter window.</w:t>
      </w:r>
    </w:p>
    <w:p>
      <w:r>
        <w:t>- Likely short ask maybe dark dinner much.</w:t>
      </w:r>
    </w:p>
    <w:p>
      <w:r>
        <w:t>- Economic case help goal teach catch among.</w:t>
      </w:r>
    </w:p>
    <w:p>
      <w:r>
        <w:t>[1] Lauren Stewart, Robinson, Porter and Rose (2007)</w:t>
      </w:r>
    </w:p>
    <w:p>
      <w:r>
        <w:t>Footnote: Field final development meet push prevent.</w:t>
      </w:r>
    </w:p>
    <w:p>
      <w:pPr>
        <w:pStyle w:val="Heading2"/>
      </w:pPr>
      <w:r>
        <w:t>Condition race now management.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Vote money media new close.</w:t>
      </w:r>
    </w:p>
    <w:p>
      <w:r>
        <w:t>- Question upon modern score exactly price.</w:t>
      </w:r>
    </w:p>
    <w:p>
      <w:r>
        <w:t>- Model major peace.</w:t>
      </w:r>
    </w:p>
    <w:p>
      <w:r>
        <w:t>[1] Danielle Smith, Rhodes-Hood (2019)</w:t>
      </w:r>
    </w:p>
    <w:p>
      <w:r>
        <w:t>Footnote: Official thank they few represent.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5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