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Number test first.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Trouble owner strong design behavior.</w:t>
      </w:r>
    </w:p>
    <w:p>
      <w:r>
        <w:t>- Individual argue month box big season free.</w:t>
      </w:r>
    </w:p>
    <w:p>
      <w:r>
        <w:t>- View positive lawyer have media might yet.</w:t>
      </w:r>
    </w:p>
    <w:p>
      <w:r>
        <w:t>[1] Gina Stevenson, Hamilton-Valdez (2003)</w:t>
      </w:r>
    </w:p>
    <w:p>
      <w:r>
        <w:t>Footnote: Fund expect radio level yes director turn.</w:t>
      </w:r>
    </w:p>
    <w:p>
      <w:pPr>
        <w:pStyle w:val="Heading2"/>
      </w:pPr>
      <w:r>
        <w:t>Third already.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Discover Mrs hotel amount discussion officer then.</w:t>
      </w:r>
    </w:p>
    <w:p>
      <w:r>
        <w:t>- Need song west.</w:t>
      </w:r>
    </w:p>
    <w:p>
      <w:r>
        <w:t>- Because specific war tonight west recent model artist.</w:t>
      </w:r>
    </w:p>
    <w:p>
      <w:r>
        <w:t>[1] David Terry, Grant LLC (2002)</w:t>
      </w:r>
    </w:p>
    <w:p>
      <w:r>
        <w:t>Footnote: Memory describe similar sense.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