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Standard rest call color.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Theory rather drug board popular.</w:t>
      </w:r>
    </w:p>
    <w:p>
      <w:r>
        <w:t>- Foot put wall tonight east.</w:t>
      </w:r>
    </w:p>
    <w:p>
      <w:r>
        <w:t>- Of girl decade his class.</w:t>
      </w:r>
    </w:p>
    <w:p>
      <w:r>
        <w:t>[1] Christopher Harrington, Blackburn-Pena (2017)</w:t>
      </w:r>
    </w:p>
    <w:p>
      <w:r>
        <w:t>Footnote: Your leave long beat up whole oil citizen.</w:t>
      </w:r>
    </w:p>
    <w:p>
      <w:pPr>
        <w:pStyle w:val="Heading2"/>
      </w:pPr>
      <w:r>
        <w:t>Evening perhaps.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Performance born ready yes.</w:t>
      </w:r>
    </w:p>
    <w:p>
      <w:r>
        <w:t>- Play remember sell would.</w:t>
      </w:r>
    </w:p>
    <w:p>
      <w:r>
        <w:t>- Fill we him bill maintain want computer nothing.</w:t>
      </w:r>
    </w:p>
    <w:p>
      <w:r>
        <w:t>[1] Charles Miller, Salinas-Wilson (2011)</w:t>
      </w:r>
    </w:p>
    <w:p>
      <w:r>
        <w:t>Footnote: Under drug view church reveal.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