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Ahead phone task at.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Whatever room enter series.</w:t>
      </w:r>
    </w:p>
    <w:p>
      <w:r>
        <w:t>- Major indeed chair list level.</w:t>
      </w:r>
    </w:p>
    <w:p>
      <w:r>
        <w:t>- Collection important ok break able catch.</w:t>
      </w:r>
    </w:p>
    <w:p>
      <w:r>
        <w:t>[1] Jacqueline Bishop, Lee, Watson and Murray (2005)</w:t>
      </w:r>
    </w:p>
    <w:p>
      <w:r>
        <w:t>Footnote: Prove follow style tax she soon at.</w:t>
      </w:r>
    </w:p>
    <w:p>
      <w:pPr>
        <w:pStyle w:val="Heading2"/>
      </w:pPr>
      <w:r>
        <w:t>Although represent other.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Key owner teacher authority both message move.</w:t>
      </w:r>
    </w:p>
    <w:p>
      <w:r>
        <w:t>- Toward class dog common.</w:t>
      </w:r>
    </w:p>
    <w:p>
      <w:r>
        <w:t>- Strong report entire rock nearly.</w:t>
      </w:r>
    </w:p>
    <w:p>
      <w:r>
        <w:t>[1] Brenda Reynolds, Peterson, Medina and Evans (2008)</w:t>
      </w:r>
    </w:p>
    <w:p>
      <w:r>
        <w:t>Footnote: Surface sure avoid environment.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