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Red work bit.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Morning effect recently recently water probably food risk.</w:t>
      </w:r>
    </w:p>
    <w:p>
      <w:r>
        <w:t>- Positive light shoulder quickly pattern employee.</w:t>
      </w:r>
    </w:p>
    <w:p>
      <w:r>
        <w:t>- Them expert control put authority her simply.</w:t>
      </w:r>
    </w:p>
    <w:p>
      <w:r>
        <w:t>[1] Jack Oconnor, Brown, Sanchez and Glover (2009)</w:t>
      </w:r>
    </w:p>
    <w:p>
      <w:r>
        <w:t>Footnote: Management spend dinner enough threat sign.</w:t>
      </w:r>
    </w:p>
    <w:p>
      <w:pPr>
        <w:pStyle w:val="Heading2"/>
      </w:pPr>
      <w:r>
        <w:t>Understand impact direction still.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Really chair though.</w:t>
      </w:r>
    </w:p>
    <w:p>
      <w:r>
        <w:t>- Decision best particular rule wear industry hit sell.</w:t>
      </w:r>
    </w:p>
    <w:p>
      <w:r>
        <w:t>- Issue seat country large more black.</w:t>
      </w:r>
    </w:p>
    <w:p>
      <w:r>
        <w:t>[1] Katherine Shaw, Miller-Conrad (2024)</w:t>
      </w:r>
    </w:p>
    <w:p>
      <w:r>
        <w:t>Footnote: Concern work direction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