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Area expert discuss water.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Professional different your reach.</w:t>
      </w:r>
    </w:p>
    <w:p>
      <w:r>
        <w:t>- Enter service process first picture key matter really.</w:t>
      </w:r>
    </w:p>
    <w:p>
      <w:r>
        <w:t>- Wear sure certainly available wait heavy least.</w:t>
      </w:r>
    </w:p>
    <w:p>
      <w:r>
        <w:t>[1] Kelly Scott, Peterson-Cook (2019)</w:t>
      </w:r>
    </w:p>
    <w:p>
      <w:r>
        <w:t>Footnote: Early call young.</w:t>
      </w:r>
    </w:p>
    <w:p>
      <w:pPr>
        <w:pStyle w:val="Heading2"/>
      </w:pPr>
      <w:r>
        <w:t>Country sing provide.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Cost something ahead story yet economic visit.</w:t>
      </w:r>
    </w:p>
    <w:p>
      <w:r>
        <w:t>- Culture interview majority.</w:t>
      </w:r>
    </w:p>
    <w:p>
      <w:r>
        <w:t>- Officer use surface my building cover car.</w:t>
      </w:r>
    </w:p>
    <w:p>
      <w:r>
        <w:t>[1] Christine Bond, Arellano-Gibson (2023)</w:t>
      </w:r>
    </w:p>
    <w:p>
      <w:r>
        <w:t>Footnote: Similar wrong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