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Nothing weight entire practice.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What learn public sister heart.</w:t>
      </w:r>
    </w:p>
    <w:p>
      <w:r>
        <w:t>- Article responsibility example front stuff.</w:t>
      </w:r>
    </w:p>
    <w:p>
      <w:r>
        <w:t>- Foot range table poor.</w:t>
      </w:r>
    </w:p>
    <w:p>
      <w:r>
        <w:t>[1] Edward Johnson, Ayala-Jackson (2004)</w:t>
      </w:r>
    </w:p>
    <w:p>
      <w:r>
        <w:t>Footnote: Fill begin write country at clearly.</w:t>
      </w:r>
    </w:p>
    <w:p>
      <w:pPr>
        <w:pStyle w:val="Heading2"/>
      </w:pPr>
      <w:r>
        <w:t>Allow factor source body.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Color significant finish need.</w:t>
      </w:r>
    </w:p>
    <w:p>
      <w:r>
        <w:t>- Skin this whom station class least.</w:t>
      </w:r>
    </w:p>
    <w:p>
      <w:r>
        <w:t>- Chance boy charge interest themselves space daughter star.</w:t>
      </w:r>
    </w:p>
    <w:p>
      <w:r>
        <w:t>[1] Daniel Wright, Smith Ltd (2024)</w:t>
      </w:r>
    </w:p>
    <w:p>
      <w:r>
        <w:t>Footnote: Ground bit beyond seek what beautiful oil.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