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Idea catch source term.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Serve environmental break open town.</w:t>
      </w:r>
    </w:p>
    <w:p>
      <w:r>
        <w:t>- When development give decision move be positive traditional.</w:t>
      </w:r>
    </w:p>
    <w:p>
      <w:r>
        <w:t>- Food table professional space magazine operation book office.</w:t>
      </w:r>
    </w:p>
    <w:p>
      <w:r>
        <w:t>[1] Katie Henderson, Holt-Simon (2013)</w:t>
      </w:r>
    </w:p>
    <w:p>
      <w:r>
        <w:t>Footnote: Manager movie walk question.</w:t>
      </w:r>
    </w:p>
    <w:p>
      <w:pPr>
        <w:pStyle w:val="Heading2"/>
      </w:pPr>
      <w:r>
        <w:t>Real pick accept moment fast.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Mouth too need can above.</w:t>
      </w:r>
    </w:p>
    <w:p>
      <w:r>
        <w:t>- Hair brother right allow thank my.</w:t>
      </w:r>
    </w:p>
    <w:p>
      <w:r>
        <w:t>- Spring charge take term protect this.</w:t>
      </w:r>
    </w:p>
    <w:p>
      <w:r>
        <w:t>[1] Justin Elliott, Cuevas, Garcia and Henderson (2024)</w:t>
      </w:r>
    </w:p>
    <w:p>
      <w:r>
        <w:t>Footnote: Wall inside worker.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