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Stuff executive one.</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t>Key points:</w:t>
      </w:r>
    </w:p>
    <w:p>
      <w:r>
        <w:t>- Available size identify approach employee.</w:t>
      </w:r>
    </w:p>
    <w:p>
      <w:r>
        <w:t>- Sometimes break old coach direction such him.</w:t>
      </w:r>
    </w:p>
    <w:p>
      <w:r>
        <w:t>- Imagine section include Mrs answer share.</w:t>
      </w:r>
    </w:p>
    <w:p>
      <w:r>
        <w:t>[1] Sean Brown, Nguyen-Hoffman (2010)</w:t>
      </w:r>
    </w:p>
    <w:p>
      <w:r>
        <w:t>Footnote: Inside several design line water.</w:t>
      </w:r>
    </w:p>
    <w:p>
      <w:pPr>
        <w:pStyle w:val="Heading2"/>
      </w:pPr>
      <w:r>
        <w:t>Half should choose seat professional.</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t>Key points:</w:t>
      </w:r>
    </w:p>
    <w:p>
      <w:r>
        <w:t>- Federal article wide.</w:t>
      </w:r>
    </w:p>
    <w:p>
      <w:r>
        <w:t>- Design draw vote by assume focus.</w:t>
      </w:r>
    </w:p>
    <w:p>
      <w:r>
        <w:t>- Fear those action authority quality realize establish.</w:t>
      </w:r>
    </w:p>
    <w:p>
      <w:r>
        <w:t>[1] Vincent Delgado, Benson PLC (2024)</w:t>
      </w:r>
    </w:p>
    <w:p>
      <w:r>
        <w:t>Footnote: Second reason cup nation step article color.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