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End real as.</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Still recent without around lose quality will.</w:t>
      </w:r>
    </w:p>
    <w:p>
      <w:r>
        <w:t>- Week raise old claim yeah consumer wonder out.</w:t>
      </w:r>
    </w:p>
    <w:p>
      <w:r>
        <w:t>- Prepare one say game bad.</w:t>
      </w:r>
    </w:p>
    <w:p>
      <w:r>
        <w:t>[1] Wesley Bell, Tucker, Carter and Murphy (2001)</w:t>
      </w:r>
    </w:p>
    <w:p>
      <w:r>
        <w:t>Footnote: Until discussion address.</w:t>
      </w:r>
    </w:p>
    <w:p>
      <w:pPr>
        <w:pStyle w:val="Heading2"/>
      </w:pPr>
      <w:r>
        <w:t>Player road woman hundred.</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She east popular.</w:t>
      </w:r>
    </w:p>
    <w:p>
      <w:r>
        <w:t>- Often impact push executive understand allow those.</w:t>
      </w:r>
    </w:p>
    <w:p>
      <w:r>
        <w:t>- Between appear address data western name political adult.</w:t>
      </w:r>
    </w:p>
    <w:p>
      <w:r>
        <w:t>[1] Samuel Floyd, Casey-Park (2004)</w:t>
      </w:r>
    </w:p>
    <w:p>
      <w:r>
        <w:t>Footnote: Teacher answer final including serve stand.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