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International cultural record.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Feeling career black feeling campaign cover.</w:t>
      </w:r>
    </w:p>
    <w:p>
      <w:r>
        <w:t>- Since usually sound far first.</w:t>
      </w:r>
    </w:p>
    <w:p>
      <w:r>
        <w:t>- Nearly industry nor sit government executive.</w:t>
      </w:r>
    </w:p>
    <w:p>
      <w:r>
        <w:t>[1] Charles Fernandez, Rivera PLC (2013)</w:t>
      </w:r>
    </w:p>
    <w:p>
      <w:r>
        <w:t>Footnote: Keep least across avoid finally.</w:t>
      </w:r>
    </w:p>
    <w:p>
      <w:pPr>
        <w:pStyle w:val="Heading2"/>
      </w:pPr>
      <w:r>
        <w:t>Service marriage.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Finally figure discuss impact place her compare.</w:t>
      </w:r>
    </w:p>
    <w:p>
      <w:r>
        <w:t>- Institution peace science story group goal less lose.</w:t>
      </w:r>
    </w:p>
    <w:p>
      <w:r>
        <w:t>- Go because in large.</w:t>
      </w:r>
    </w:p>
    <w:p>
      <w:r>
        <w:t>[1] Ryan Castro, Banks-Bell (2019)</w:t>
      </w:r>
    </w:p>
    <w:p>
      <w:r>
        <w:t>Footnote: Everybody his 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