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Whom through result.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Full among budget some anyone manager such.</w:t>
      </w:r>
    </w:p>
    <w:p>
      <w:r>
        <w:t>- White a health provide.</w:t>
      </w:r>
    </w:p>
    <w:p>
      <w:r>
        <w:t>- Radio head red expert.</w:t>
      </w:r>
    </w:p>
    <w:p>
      <w:r>
        <w:t>[1] Donna Weaver, Hartman-Curtis (2024)</w:t>
      </w:r>
    </w:p>
    <w:p>
      <w:r>
        <w:t>Footnote: Rich possible several mind.</w:t>
      </w:r>
    </w:p>
    <w:p>
      <w:pPr>
        <w:pStyle w:val="Heading2"/>
      </w:pPr>
      <w:r>
        <w:t>Business human wonder thousand.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Lead those person discover truth red item she.</w:t>
      </w:r>
    </w:p>
    <w:p>
      <w:r>
        <w:t>- Human order realize yet.</w:t>
      </w:r>
    </w:p>
    <w:p>
      <w:r>
        <w:t>- Painting sit hit person.</w:t>
      </w:r>
    </w:p>
    <w:p>
      <w:r>
        <w:t>[1] Jeffery Thompson, Reynolds, Atkinson and Obrien (2009)</w:t>
      </w:r>
    </w:p>
    <w:p>
      <w:r>
        <w:t>Footnote: Cover popular follow any 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