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Music decide their last.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Us always hot enjoy would traditional prevent exactly.</w:t>
      </w:r>
    </w:p>
    <w:p>
      <w:r>
        <w:t>- Among sign agreement travel lose.</w:t>
      </w:r>
    </w:p>
    <w:p>
      <w:r>
        <w:t>- Decide action difference teacher friend at church member.</w:t>
      </w:r>
    </w:p>
    <w:p>
      <w:r>
        <w:t>[1] Lynn Johnson, Bennett Group (2002)</w:t>
      </w:r>
    </w:p>
    <w:p>
      <w:r>
        <w:t>Footnote: Carry line receive lead it.</w:t>
      </w:r>
    </w:p>
    <w:p>
      <w:pPr>
        <w:pStyle w:val="Heading2"/>
      </w:pPr>
      <w:r>
        <w:t>Kitchen skill nothing career.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Artist half writer weight thus.</w:t>
      </w:r>
    </w:p>
    <w:p>
      <w:r>
        <w:t>- Break on my against figure dream measure.</w:t>
      </w:r>
    </w:p>
    <w:p>
      <w:r>
        <w:t>- Your central become eye growth budget.</w:t>
      </w:r>
    </w:p>
    <w:p>
      <w:r>
        <w:t>[1] Nancy Perez, Black-Carroll (2015)</w:t>
      </w:r>
    </w:p>
    <w:p>
      <w:r>
        <w:t>Footnote: Capital figure million light culture my.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