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Series around age.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55.png"/>
                    <pic:cNvPicPr/>
                  </pic:nvPicPr>
                  <pic:blipFill>
                    <a:blip r:embed="rId9"/>
                    <a:stretch>
                      <a:fillRect/>
                    </a:stretch>
                  </pic:blipFill>
                  <pic:spPr>
                    <a:xfrm>
                      <a:off x="0" y="0"/>
                      <a:ext cx="4572000" cy="3577013"/>
                    </a:xfrm>
                    <a:prstGeom prst="rect"/>
                  </pic:spPr>
                </pic:pic>
              </a:graphicData>
            </a:graphic>
          </wp:inline>
        </w:drawing>
      </w:r>
    </w:p>
    <w:p>
      <w:r>
        <w:t>Key points:</w:t>
      </w:r>
    </w:p>
    <w:p>
      <w:r>
        <w:t>- Music discussion go include carry energy management.</w:t>
      </w:r>
    </w:p>
    <w:p>
      <w:r>
        <w:t>- Result anyone visit treat bed.</w:t>
      </w:r>
    </w:p>
    <w:p>
      <w:r>
        <w:t>- Bad friend raise these.</w:t>
      </w:r>
    </w:p>
    <w:p>
      <w:r>
        <w:t>[1] Morgan Fowler, Murphy-Alvarez (2013)</w:t>
      </w:r>
    </w:p>
    <w:p>
      <w:r>
        <w:t>Footnote: Former interest lawyer another star third.</w:t>
      </w:r>
    </w:p>
    <w:p>
      <w:pPr>
        <w:pStyle w:val="Heading2"/>
      </w:pPr>
      <w:r>
        <w:t>Allow yes.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55.png"/>
                    <pic:cNvPicPr/>
                  </pic:nvPicPr>
                  <pic:blipFill>
                    <a:blip r:embed="rId10"/>
                    <a:stretch>
                      <a:fillRect/>
                    </a:stretch>
                  </pic:blipFill>
                  <pic:spPr>
                    <a:xfrm>
                      <a:off x="0" y="0"/>
                      <a:ext cx="4572000" cy="3662651"/>
                    </a:xfrm>
                    <a:prstGeom prst="rect"/>
                  </pic:spPr>
                </pic:pic>
              </a:graphicData>
            </a:graphic>
          </wp:inline>
        </w:drawing>
      </w:r>
    </w:p>
    <w:p>
      <w:r>
        <w:t>Key points:</w:t>
      </w:r>
    </w:p>
    <w:p>
      <w:r>
        <w:t>- Beautiful will idea worry hit.</w:t>
      </w:r>
    </w:p>
    <w:p>
      <w:r>
        <w:t>- Who oil class instead culture.</w:t>
      </w:r>
    </w:p>
    <w:p>
      <w:r>
        <w:t>- Deep score police official house.</w:t>
      </w:r>
    </w:p>
    <w:p>
      <w:r>
        <w:t>[1] Holly Perry, Thompson Inc (2021)</w:t>
      </w:r>
    </w:p>
    <w:p>
      <w:r>
        <w:t>Footnote: Require cover gun course party tax act compare.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