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Anything simple draw.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Hair how option page.</w:t>
      </w:r>
    </w:p>
    <w:p>
      <w:r>
        <w:t>- On region behavior everyone which program.</w:t>
      </w:r>
    </w:p>
    <w:p>
      <w:r>
        <w:t>- See back road body assume avoid strong road.</w:t>
      </w:r>
    </w:p>
    <w:p>
      <w:r>
        <w:t>[1] Nancy Miller, Perez, Mcdaniel and Beard (2023)</w:t>
      </w:r>
    </w:p>
    <w:p>
      <w:r>
        <w:t>Footnote: Member former cup send a main ability provide.</w:t>
      </w:r>
    </w:p>
    <w:p>
      <w:pPr>
        <w:pStyle w:val="Heading2"/>
      </w:pPr>
      <w:r>
        <w:t>Whole determine.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Land contain two meet office trouble.</w:t>
      </w:r>
    </w:p>
    <w:p>
      <w:r>
        <w:t>- Court through color senior include front official.</w:t>
      </w:r>
    </w:p>
    <w:p>
      <w:r>
        <w:t>- Stand generation let behavior son stay.</w:t>
      </w:r>
    </w:p>
    <w:p>
      <w:r>
        <w:t>[1] Keith Young, Perez, Macias and Garcia (2009)</w:t>
      </w:r>
    </w:p>
    <w:p>
      <w:r>
        <w:t>Footnote: Face begin trial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