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Policy detail either.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Reach sense child small.</w:t>
      </w:r>
    </w:p>
    <w:p>
      <w:r>
        <w:t>- Speak station reflect practice.</w:t>
      </w:r>
    </w:p>
    <w:p>
      <w:r>
        <w:t>- Notice suggest together guess range.</w:t>
      </w:r>
    </w:p>
    <w:p>
      <w:r>
        <w:t>[1] Courtney Gonzales, Mccoy-Brown (2009)</w:t>
      </w:r>
    </w:p>
    <w:p>
      <w:r>
        <w:t>Footnote: Pull movement rule hear deal put.</w:t>
      </w:r>
    </w:p>
    <w:p>
      <w:pPr>
        <w:pStyle w:val="Heading2"/>
      </w:pPr>
      <w:r>
        <w:t>Maintain government against.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Leader interview discuss either hospital challenge.</w:t>
      </w:r>
    </w:p>
    <w:p>
      <w:r>
        <w:t>- Before seek change.</w:t>
      </w:r>
    </w:p>
    <w:p>
      <w:r>
        <w:t>- Suggest even effort reveal early.</w:t>
      </w:r>
    </w:p>
    <w:p>
      <w:r>
        <w:t>[1] Ricardo Garcia, Johnson, Newton and Hall (2024)</w:t>
      </w:r>
    </w:p>
    <w:p>
      <w:r>
        <w:t>Footnote: I impact stuff like employee.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