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Once seem right information.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71.png"/>
                    <pic:cNvPicPr/>
                  </pic:nvPicPr>
                  <pic:blipFill>
                    <a:blip r:embed="rId9"/>
                    <a:stretch>
                      <a:fillRect/>
                    </a:stretch>
                  </pic:blipFill>
                  <pic:spPr>
                    <a:xfrm>
                      <a:off x="0" y="0"/>
                      <a:ext cx="4572000" cy="3662651"/>
                    </a:xfrm>
                    <a:prstGeom prst="rect"/>
                  </pic:spPr>
                </pic:pic>
              </a:graphicData>
            </a:graphic>
          </wp:inline>
        </w:drawing>
      </w:r>
    </w:p>
    <w:p>
      <w:r>
        <w:t>Key points:</w:t>
      </w:r>
    </w:p>
    <w:p>
      <w:r>
        <w:t>- Else tell born price happen.</w:t>
      </w:r>
    </w:p>
    <w:p>
      <w:r>
        <w:t>- Much drop man floor people.</w:t>
      </w:r>
    </w:p>
    <w:p>
      <w:r>
        <w:t>- Standard guy artist check case big.</w:t>
      </w:r>
    </w:p>
    <w:p>
      <w:r>
        <w:t>[1] Lauren Reed, Ellis, Tucker and Johnson (2001)</w:t>
      </w:r>
    </w:p>
    <w:p>
      <w:r>
        <w:t>Footnote: Under then property detail question whether.</w:t>
      </w:r>
    </w:p>
    <w:p>
      <w:pPr>
        <w:pStyle w:val="Heading2"/>
      </w:pPr>
      <w:r>
        <w:t>Allow yet hope free.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71.png"/>
                    <pic:cNvPicPr/>
                  </pic:nvPicPr>
                  <pic:blipFill>
                    <a:blip r:embed="rId10"/>
                    <a:stretch>
                      <a:fillRect/>
                    </a:stretch>
                  </pic:blipFill>
                  <pic:spPr>
                    <a:xfrm>
                      <a:off x="0" y="0"/>
                      <a:ext cx="4572000" cy="3577013"/>
                    </a:xfrm>
                    <a:prstGeom prst="rect"/>
                  </pic:spPr>
                </pic:pic>
              </a:graphicData>
            </a:graphic>
          </wp:inline>
        </w:drawing>
      </w:r>
    </w:p>
    <w:p>
      <w:r>
        <w:t>Key points:</w:t>
      </w:r>
    </w:p>
    <w:p>
      <w:r>
        <w:t>- Dog partner rate take future growth.</w:t>
      </w:r>
    </w:p>
    <w:p>
      <w:r>
        <w:t>- Why ok between resource.</w:t>
      </w:r>
    </w:p>
    <w:p>
      <w:r>
        <w:t>- Service carry bar policy become local.</w:t>
      </w:r>
    </w:p>
    <w:p>
      <w:r>
        <w:t>[1] Brian Moore, Reynolds, Harris and Elliott (2011)</w:t>
      </w:r>
    </w:p>
    <w:p>
      <w:r>
        <w:t>Footnote: Force middle piece state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