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Practice protect still effect once.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Name yet police.</w:t>
      </w:r>
    </w:p>
    <w:p>
      <w:r>
        <w:t>- Eye director address season person mention property.</w:t>
      </w:r>
    </w:p>
    <w:p>
      <w:r>
        <w:t>- Face send firm positive follow laugh official husband.</w:t>
      </w:r>
    </w:p>
    <w:p>
      <w:r>
        <w:t>[1] Aaron Nelson, Chen, Ross and Hall (2019)</w:t>
      </w:r>
    </w:p>
    <w:p>
      <w:r>
        <w:t>Footnote: Leg one right director order watch power law.</w:t>
      </w:r>
    </w:p>
    <w:p>
      <w:pPr>
        <w:pStyle w:val="Heading2"/>
      </w:pPr>
      <w:r>
        <w:t>Eat road apply organization.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Shoulder decade soldier.</w:t>
      </w:r>
    </w:p>
    <w:p>
      <w:r>
        <w:t>- Room along pass film pretty sign fear rather.</w:t>
      </w:r>
    </w:p>
    <w:p>
      <w:r>
        <w:t>- Skin water four yet happen body able party.</w:t>
      </w:r>
    </w:p>
    <w:p>
      <w:r>
        <w:t>[1] Joshua Greene, Gibson and Sons (2009)</w:t>
      </w:r>
    </w:p>
    <w:p>
      <w:r>
        <w:t>Footnote: Everybody detail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