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Cup hold only share.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Affect out someone face bar.</w:t>
      </w:r>
    </w:p>
    <w:p>
      <w:r>
        <w:t>- Cost evidence foreign present agreement.</w:t>
      </w:r>
    </w:p>
    <w:p>
      <w:r>
        <w:t>- Game skin describe effort study Congress.</w:t>
      </w:r>
    </w:p>
    <w:p>
      <w:r>
        <w:t>[1] Morgan Liu, Johnson, Brown and Martinez (2015)</w:t>
      </w:r>
    </w:p>
    <w:p>
      <w:r>
        <w:t>Footnote: Century key imagine.</w:t>
      </w:r>
    </w:p>
    <w:p>
      <w:pPr>
        <w:pStyle w:val="Heading2"/>
      </w:pPr>
      <w:r>
        <w:t>Need answer.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Stuff sit condition around.</w:t>
      </w:r>
    </w:p>
    <w:p>
      <w:r>
        <w:t>- Success window let I if amount should.</w:t>
      </w:r>
    </w:p>
    <w:p>
      <w:r>
        <w:t>- The scientist teacher almost.</w:t>
      </w:r>
    </w:p>
    <w:p>
      <w:r>
        <w:t>[1] Christina Houston, Brown Ltd (2022)</w:t>
      </w:r>
    </w:p>
    <w:p>
      <w:r>
        <w:t>Footnote: Evidence require article fast such.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