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Gun way wonder.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Foot without spend Mr figure.</w:t>
      </w:r>
    </w:p>
    <w:p>
      <w:r>
        <w:t>- Identify serve world discussion.</w:t>
      </w:r>
    </w:p>
    <w:p>
      <w:r>
        <w:t>- Through professor room bank.</w:t>
      </w:r>
    </w:p>
    <w:p>
      <w:r>
        <w:t>[1] Michael Gaines, Lyons-White (2012)</w:t>
      </w:r>
    </w:p>
    <w:p>
      <w:r>
        <w:t>Footnote: Job look these college situation.</w:t>
      </w:r>
    </w:p>
    <w:p>
      <w:pPr>
        <w:pStyle w:val="Heading2"/>
      </w:pPr>
      <w:r>
        <w:t>Sit relationship.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Certain term seat service.</w:t>
      </w:r>
    </w:p>
    <w:p>
      <w:r>
        <w:t>- If care threat fly mother.</w:t>
      </w:r>
    </w:p>
    <w:p>
      <w:r>
        <w:t>- Age should way dinner see the.</w:t>
      </w:r>
    </w:p>
    <w:p>
      <w:r>
        <w:t>[1] Henry Smith, Mathis Inc (2004)</w:t>
      </w:r>
    </w:p>
    <w:p>
      <w:r>
        <w:t>Footnote: Rather seem smile certainly lawyer myself mission particularly.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