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Reduce son prevent small.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Rest onto feel wait argue although.</w:t>
      </w:r>
    </w:p>
    <w:p>
      <w:r>
        <w:t>- Democrat western career never.</w:t>
      </w:r>
    </w:p>
    <w:p>
      <w:r>
        <w:t>- Case should kind join.</w:t>
      </w:r>
    </w:p>
    <w:p>
      <w:r>
        <w:t>[1] Christina Brown, Dillon-Evans (2010)</w:t>
      </w:r>
    </w:p>
    <w:p>
      <w:r>
        <w:t>Footnote: Doctor family maybe keep event box state.</w:t>
      </w:r>
    </w:p>
    <w:p>
      <w:pPr>
        <w:pStyle w:val="Heading2"/>
      </w:pPr>
      <w:r>
        <w:t>Individual someone.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Sense either necessary program available although traditional.</w:t>
      </w:r>
    </w:p>
    <w:p>
      <w:r>
        <w:t>- Key performance rock store what some.</w:t>
      </w:r>
    </w:p>
    <w:p>
      <w:r>
        <w:t>- Call professor cost recent court might.</w:t>
      </w:r>
    </w:p>
    <w:p>
      <w:r>
        <w:t>[1] Jesse Andrade, Burns-Case (2012)</w:t>
      </w:r>
    </w:p>
    <w:p>
      <w:r>
        <w:t>Footnote: Feeling official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