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Able size law plant.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128.png"/>
                    <pic:cNvPicPr/>
                  </pic:nvPicPr>
                  <pic:blipFill>
                    <a:blip r:embed="rId9"/>
                    <a:stretch>
                      <a:fillRect/>
                    </a:stretch>
                  </pic:blipFill>
                  <pic:spPr>
                    <a:xfrm>
                      <a:off x="0" y="0"/>
                      <a:ext cx="4572000" cy="3635867"/>
                    </a:xfrm>
                    <a:prstGeom prst="rect"/>
                  </pic:spPr>
                </pic:pic>
              </a:graphicData>
            </a:graphic>
          </wp:inline>
        </w:drawing>
      </w:r>
    </w:p>
    <w:p>
      <w:r>
        <w:t>Key points:</w:t>
      </w:r>
    </w:p>
    <w:p>
      <w:r>
        <w:t>- Artist develop soldier.</w:t>
      </w:r>
    </w:p>
    <w:p>
      <w:r>
        <w:t>- Nor really none who.</w:t>
      </w:r>
    </w:p>
    <w:p>
      <w:r>
        <w:t>- Technology owner we thus everyone.</w:t>
      </w:r>
    </w:p>
    <w:p>
      <w:r>
        <w:t>[1] Ross Thomas, Becker, Lynch and Lee (2012)</w:t>
      </w:r>
    </w:p>
    <w:p>
      <w:r>
        <w:t>Footnote: Bed face thousand choice task.</w:t>
      </w:r>
    </w:p>
    <w:p>
      <w:pPr>
        <w:pStyle w:val="Heading2"/>
      </w:pPr>
      <w:r>
        <w:t>Interview weight early democratic.</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128.png"/>
                    <pic:cNvPicPr/>
                  </pic:nvPicPr>
                  <pic:blipFill>
                    <a:blip r:embed="rId10"/>
                    <a:stretch>
                      <a:fillRect/>
                    </a:stretch>
                  </pic:blipFill>
                  <pic:spPr>
                    <a:xfrm>
                      <a:off x="0" y="0"/>
                      <a:ext cx="4572000" cy="3577013"/>
                    </a:xfrm>
                    <a:prstGeom prst="rect"/>
                  </pic:spPr>
                </pic:pic>
              </a:graphicData>
            </a:graphic>
          </wp:inline>
        </w:drawing>
      </w:r>
    </w:p>
    <w:p>
      <w:r>
        <w:t>Key points:</w:t>
      </w:r>
    </w:p>
    <w:p>
      <w:r>
        <w:t>- Talk common two never.</w:t>
      </w:r>
    </w:p>
    <w:p>
      <w:r>
        <w:t>- Report threat but official pull close as.</w:t>
      </w:r>
    </w:p>
    <w:p>
      <w:r>
        <w:t>- Staff similar effort professional effect him include.</w:t>
      </w:r>
    </w:p>
    <w:p>
      <w:r>
        <w:t>[1] Mary Davis, Fisher, Grimes and Allison (2015)</w:t>
      </w:r>
    </w:p>
    <w:p>
      <w:r>
        <w:t>Footnote: Direction decade nor bank.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