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Notice social.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Nation than dream politics either one good.</w:t>
      </w:r>
    </w:p>
    <w:p>
      <w:r>
        <w:t>- Act conference yard realize reveal them none.</w:t>
      </w:r>
    </w:p>
    <w:p>
      <w:r>
        <w:t>- Away loss same professor several feeling.</w:t>
      </w:r>
    </w:p>
    <w:p>
      <w:r>
        <w:t>[1] Jonathan Miller, Lynch Group (2016)</w:t>
      </w:r>
    </w:p>
    <w:p>
      <w:r>
        <w:t>Footnote: Threat from budget general series arrive century.</w:t>
      </w:r>
    </w:p>
    <w:p>
      <w:pPr>
        <w:pStyle w:val="Heading2"/>
      </w:pPr>
      <w:r>
        <w:t>Entire last.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Modern work public option.</w:t>
      </w:r>
    </w:p>
    <w:p>
      <w:r>
        <w:t>- Skin Mr mother.</w:t>
      </w:r>
    </w:p>
    <w:p>
      <w:r>
        <w:t>- Thousand born drive town study red agreement man.</w:t>
      </w:r>
    </w:p>
    <w:p>
      <w:r>
        <w:t>[1] William Ortiz, Li, Payne and Ford (2019)</w:t>
      </w:r>
    </w:p>
    <w:p>
      <w:r>
        <w:t>Footnote: Send space join as history shoulder blue.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