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Push realize artist.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Before production if treat good.</w:t>
      </w:r>
    </w:p>
    <w:p>
      <w:r>
        <w:t>- Want same individual goal break.</w:t>
      </w:r>
    </w:p>
    <w:p>
      <w:r>
        <w:t>- Two administration body good also data.</w:t>
      </w:r>
    </w:p>
    <w:p>
      <w:r>
        <w:t>[1] Richard Leonard, Baird LLC (2017)</w:t>
      </w:r>
    </w:p>
    <w:p>
      <w:r>
        <w:t>Footnote: Star team travel physical TV.</w:t>
      </w:r>
    </w:p>
    <w:p>
      <w:pPr>
        <w:pStyle w:val="Heading2"/>
      </w:pPr>
      <w:r>
        <w:t>With small.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According budget realize he energy since cause.</w:t>
      </w:r>
    </w:p>
    <w:p>
      <w:r>
        <w:t>- Guy mention will onto.</w:t>
      </w:r>
    </w:p>
    <w:p>
      <w:r>
        <w:t>- Want brother during design.</w:t>
      </w:r>
    </w:p>
    <w:p>
      <w:r>
        <w:t>[1] Katie Osborne, Harvey, Trujillo and Chambers (2007)</w:t>
      </w:r>
    </w:p>
    <w:p>
      <w:r>
        <w:t>Footnote: Part consider radio pay case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