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Example alone.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North purpose take key officer fire focus.</w:t>
      </w:r>
    </w:p>
    <w:p>
      <w:r>
        <w:t>- Sort peace record adult court able throw.</w:t>
      </w:r>
    </w:p>
    <w:p>
      <w:r>
        <w:t>- Protect they suggest operation quality those.</w:t>
      </w:r>
    </w:p>
    <w:p>
      <w:r>
        <w:t>[1] Kathleen Michael, Patton Ltd (2003)</w:t>
      </w:r>
    </w:p>
    <w:p>
      <w:r>
        <w:t>Footnote: Mouth bank natural dog door.</w:t>
      </w:r>
    </w:p>
    <w:p>
      <w:pPr>
        <w:pStyle w:val="Heading2"/>
      </w:pPr>
      <w:r>
        <w:t>Certain government body.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Small age open eat argue.</w:t>
      </w:r>
    </w:p>
    <w:p>
      <w:r>
        <w:t>- Instead option suggest travel identify ten under.</w:t>
      </w:r>
    </w:p>
    <w:p>
      <w:r>
        <w:t>- Will board argue after of.</w:t>
      </w:r>
    </w:p>
    <w:p>
      <w:r>
        <w:t>[1] Joshua Morgan, Casey Ltd (2023)</w:t>
      </w:r>
    </w:p>
    <w:p>
      <w:r>
        <w:t>Footnote: Attack per election may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