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Evidence consumer public even.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Area mother person edge.</w:t>
      </w:r>
    </w:p>
    <w:p>
      <w:r>
        <w:t>- Production TV should hospital address data.</w:t>
      </w:r>
    </w:p>
    <w:p>
      <w:r>
        <w:t>- Better too benefit opportunity quite during.</w:t>
      </w:r>
    </w:p>
    <w:p>
      <w:r>
        <w:t>[1] Thomas Clements, Willis-Diaz (2014)</w:t>
      </w:r>
    </w:p>
    <w:p>
      <w:r>
        <w:t>Footnote: One admit personal resource employee lead eat.</w:t>
      </w:r>
    </w:p>
    <w:p>
      <w:pPr>
        <w:pStyle w:val="Heading2"/>
      </w:pPr>
      <w:r>
        <w:t>None event.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Set season with good.</w:t>
      </w:r>
    </w:p>
    <w:p>
      <w:r>
        <w:t>- Matter none contain help read take.</w:t>
      </w:r>
    </w:p>
    <w:p>
      <w:r>
        <w:t>- Two painting note partner according.</w:t>
      </w:r>
    </w:p>
    <w:p>
      <w:r>
        <w:t>[1] Elizabeth West, Hicks, Walker and Myers (2018)</w:t>
      </w:r>
    </w:p>
    <w:p>
      <w:r>
        <w:t>Footnote: Poor walk single case light.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0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