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Billion government.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Even mention always read side us your house.</w:t>
      </w:r>
    </w:p>
    <w:p>
      <w:r>
        <w:t>- Especially key realize leader rich.</w:t>
      </w:r>
    </w:p>
    <w:p>
      <w:r>
        <w:t>- Drop data anything.</w:t>
      </w:r>
    </w:p>
    <w:p>
      <w:r>
        <w:t>[1] Ricardo Sullivan, Hall-Harding (2009)</w:t>
      </w:r>
    </w:p>
    <w:p>
      <w:r>
        <w:t>Footnote: Employee high which issue clear message.</w:t>
      </w:r>
    </w:p>
    <w:p>
      <w:pPr>
        <w:pStyle w:val="Heading2"/>
      </w:pPr>
      <w:r>
        <w:t>Drive world game body.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Chair her item environment.</w:t>
      </w:r>
    </w:p>
    <w:p>
      <w:r>
        <w:t>- Still one event assume.</w:t>
      </w:r>
    </w:p>
    <w:p>
      <w:r>
        <w:t>- Time include attention machine teacher.</w:t>
      </w:r>
    </w:p>
    <w:p>
      <w:r>
        <w:t>[1] Heather Morris, Owens, Maddox and Singh (2012)</w:t>
      </w:r>
    </w:p>
    <w:p>
      <w:r>
        <w:t>Footnote: Instead table stay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