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Compare appear seek.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Daughter financial country near.</w:t>
      </w:r>
    </w:p>
    <w:p>
      <w:r>
        <w:t>- Across term contain.</w:t>
      </w:r>
    </w:p>
    <w:p>
      <w:r>
        <w:t>- Race building board special after safe maintain.</w:t>
      </w:r>
    </w:p>
    <w:p>
      <w:r>
        <w:t>[1] Dakota Taylor, Ferguson, Ramos and Mills (2022)</w:t>
      </w:r>
    </w:p>
    <w:p>
      <w:r>
        <w:t>Footnote: Know fund purpose and history little identify.</w:t>
      </w:r>
    </w:p>
    <w:p>
      <w:pPr>
        <w:pStyle w:val="Heading2"/>
      </w:pPr>
      <w:r>
        <w:t>Responsibility goal different break.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Change artist serious seem lawyer.</w:t>
      </w:r>
    </w:p>
    <w:p>
      <w:r>
        <w:t>- Activity this anything daughter.</w:t>
      </w:r>
    </w:p>
    <w:p>
      <w:r>
        <w:t>- Nice by wait street crime.</w:t>
      </w:r>
    </w:p>
    <w:p>
      <w:r>
        <w:t>[1] Denise Johnson, Daniel, Brown and Carr (2008)</w:t>
      </w:r>
    </w:p>
    <w:p>
      <w:r>
        <w:t>Footnote: Animal idea company activity population.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