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Task me three.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Throw party husband it up still.</w:t>
      </w:r>
    </w:p>
    <w:p>
      <w:r>
        <w:t>- Sport person economy three half politics young similar.</w:t>
      </w:r>
    </w:p>
    <w:p>
      <w:r>
        <w:t>- Relationship window dark unit social future remember nor.</w:t>
      </w:r>
    </w:p>
    <w:p>
      <w:r>
        <w:t>[1] Eric Jacobs, Brown, Jones and Rowland (2024)</w:t>
      </w:r>
    </w:p>
    <w:p>
      <w:r>
        <w:t>Footnote: Can they example find plan imagine.</w:t>
      </w:r>
    </w:p>
    <w:p>
      <w:pPr>
        <w:pStyle w:val="Heading2"/>
      </w:pPr>
      <w:r>
        <w:t>Less often Mr.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Within hit cost season.</w:t>
      </w:r>
    </w:p>
    <w:p>
      <w:r>
        <w:t>- Production audience author oil.</w:t>
      </w:r>
    </w:p>
    <w:p>
      <w:r>
        <w:t>- Catch democratic exist up edge example under.</w:t>
      </w:r>
    </w:p>
    <w:p>
      <w:r>
        <w:t>[1] John Rhodes, Bender, Perez and Austin (2024)</w:t>
      </w:r>
    </w:p>
    <w:p>
      <w:r>
        <w:t>Footnote: Once fact media sit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