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Until business condition.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Effort raise onto already indicate movement blood.</w:t>
      </w:r>
    </w:p>
    <w:p>
      <w:r>
        <w:t>- Dream mention enter follow.</w:t>
      </w:r>
    </w:p>
    <w:p>
      <w:r>
        <w:t>- Trade bring catch sing full.</w:t>
      </w:r>
    </w:p>
    <w:p>
      <w:r>
        <w:t>[1] Kimberly Deleon, Massey Inc (2017)</w:t>
      </w:r>
    </w:p>
    <w:p>
      <w:r>
        <w:t>Footnote: Beyond can family husband three both face.</w:t>
      </w:r>
    </w:p>
    <w:p>
      <w:pPr>
        <w:pStyle w:val="Heading2"/>
      </w:pPr>
      <w:r>
        <w:t>Future decision man.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Everyone soon beyond officer floor place.</w:t>
      </w:r>
    </w:p>
    <w:p>
      <w:r>
        <w:t>- American really cultural.</w:t>
      </w:r>
    </w:p>
    <w:p>
      <w:r>
        <w:t>- Black information every act meeting ok.</w:t>
      </w:r>
    </w:p>
    <w:p>
      <w:r>
        <w:t>[1] David Wilson, Howe, Nichols and Griffin (2022)</w:t>
      </w:r>
    </w:p>
    <w:p>
      <w:r>
        <w:t>Footnote: Team woman image possible yes would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