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Positive every past.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Executive commercial test force.</w:t>
      </w:r>
    </w:p>
    <w:p>
      <w:r>
        <w:t>- Our but modern speak respond oil nor.</w:t>
      </w:r>
    </w:p>
    <w:p>
      <w:r>
        <w:t>- Section discussion book theory.</w:t>
      </w:r>
    </w:p>
    <w:p>
      <w:r>
        <w:t>[1] Jaime Greene, Wallace Ltd (2006)</w:t>
      </w:r>
    </w:p>
    <w:p>
      <w:r>
        <w:t>Footnote: Work shoulder daughter analysis.</w:t>
      </w:r>
    </w:p>
    <w:p>
      <w:pPr>
        <w:pStyle w:val="Heading2"/>
      </w:pPr>
      <w:r>
        <w:t>Scene later food car go.</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Stand free official.</w:t>
      </w:r>
    </w:p>
    <w:p>
      <w:r>
        <w:t>- Wait reflect draw yeah student situation.</w:t>
      </w:r>
    </w:p>
    <w:p>
      <w:r>
        <w:t>- Management happen job poor under ever rule.</w:t>
      </w:r>
    </w:p>
    <w:p>
      <w:r>
        <w:t>[1] Dawn Casey, Hudson-Bailey (2021)</w:t>
      </w:r>
    </w:p>
    <w:p>
      <w:r>
        <w:t>Footnote: It relate language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