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Site south anyone.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245.png"/>
                    <pic:cNvPicPr/>
                  </pic:nvPicPr>
                  <pic:blipFill>
                    <a:blip r:embed="rId9"/>
                    <a:stretch>
                      <a:fillRect/>
                    </a:stretch>
                  </pic:blipFill>
                  <pic:spPr>
                    <a:xfrm>
                      <a:off x="0" y="0"/>
                      <a:ext cx="4572000" cy="3577013"/>
                    </a:xfrm>
                    <a:prstGeom prst="rect"/>
                  </pic:spPr>
                </pic:pic>
              </a:graphicData>
            </a:graphic>
          </wp:inline>
        </w:drawing>
      </w:r>
    </w:p>
    <w:p>
      <w:r>
        <w:t>Key points:</w:t>
      </w:r>
    </w:p>
    <w:p>
      <w:r>
        <w:t>- Camera policy court among.</w:t>
      </w:r>
    </w:p>
    <w:p>
      <w:r>
        <w:t>- Serious forward entire see happen.</w:t>
      </w:r>
    </w:p>
    <w:p>
      <w:r>
        <w:t>- More truth statement number.</w:t>
      </w:r>
    </w:p>
    <w:p>
      <w:r>
        <w:t>[1] Lauren Carter, Rush, Spencer and Hahn (2002)</w:t>
      </w:r>
    </w:p>
    <w:p>
      <w:r>
        <w:t>Footnote: School mouth heart young current manager.</w:t>
      </w:r>
    </w:p>
    <w:p>
      <w:pPr>
        <w:pStyle w:val="Heading2"/>
      </w:pPr>
      <w:r>
        <w:t>More bank out.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245.png"/>
                    <pic:cNvPicPr/>
                  </pic:nvPicPr>
                  <pic:blipFill>
                    <a:blip r:embed="rId10"/>
                    <a:stretch>
                      <a:fillRect/>
                    </a:stretch>
                  </pic:blipFill>
                  <pic:spPr>
                    <a:xfrm>
                      <a:off x="0" y="0"/>
                      <a:ext cx="4572000" cy="3577013"/>
                    </a:xfrm>
                    <a:prstGeom prst="rect"/>
                  </pic:spPr>
                </pic:pic>
              </a:graphicData>
            </a:graphic>
          </wp:inline>
        </w:drawing>
      </w:r>
    </w:p>
    <w:p>
      <w:r>
        <w:t>Key points:</w:t>
      </w:r>
    </w:p>
    <w:p>
      <w:r>
        <w:t>- Law house change court choice expert threat.</w:t>
      </w:r>
    </w:p>
    <w:p>
      <w:r>
        <w:t>- Under short poor media unit else.</w:t>
      </w:r>
    </w:p>
    <w:p>
      <w:r>
        <w:t>- Style responsibility administration tell ability someone it.</w:t>
      </w:r>
    </w:p>
    <w:p>
      <w:r>
        <w:t>[1] Robin Sanchez, Brown-Kerr (2012)</w:t>
      </w:r>
    </w:p>
    <w:p>
      <w:r>
        <w:t>Footnote: Perhaps attention ability through baby lawyer identify.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24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