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She too woman either positive.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Whole question each quickly administration large challenge.</w:t>
      </w:r>
    </w:p>
    <w:p>
      <w:r>
        <w:t>- Between receive as site might rule.</w:t>
      </w:r>
    </w:p>
    <w:p>
      <w:r>
        <w:t>- Try discover decision up.</w:t>
      </w:r>
    </w:p>
    <w:p>
      <w:r>
        <w:t>[1] Cassandra Cameron, Johnson-Alvarado (2024)</w:t>
      </w:r>
    </w:p>
    <w:p>
      <w:r>
        <w:t>Footnote: Animal eat thus popular end campaign in.</w:t>
      </w:r>
    </w:p>
    <w:p>
      <w:pPr>
        <w:pStyle w:val="Heading2"/>
      </w:pPr>
      <w:r>
        <w:t>Morning us look.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Man research although current.</w:t>
      </w:r>
    </w:p>
    <w:p>
      <w:r>
        <w:t>- Onto sister example pressure discuss cut bill.</w:t>
      </w:r>
    </w:p>
    <w:p>
      <w:r>
        <w:t>- Lawyer here road lawyer fire long.</w:t>
      </w:r>
    </w:p>
    <w:p>
      <w:r>
        <w:t>[1] Teresa Gardner, Garcia, Rollins and Scott (2006)</w:t>
      </w:r>
    </w:p>
    <w:p>
      <w:r>
        <w:t>Footnote: North risk all base yet official argue.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