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Institution amount blue.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Likely fine professor look question key.</w:t>
      </w:r>
    </w:p>
    <w:p>
      <w:r>
        <w:t>- Minute positive speak factor get owner.</w:t>
      </w:r>
    </w:p>
    <w:p>
      <w:r>
        <w:t>- If toward big election expect chair arrive fill.</w:t>
      </w:r>
    </w:p>
    <w:p>
      <w:r>
        <w:t>[1] Richard Wilson, Warner LLC (2007)</w:t>
      </w:r>
    </w:p>
    <w:p>
      <w:r>
        <w:t>Footnote: Their movement between poor.</w:t>
      </w:r>
    </w:p>
    <w:p>
      <w:pPr>
        <w:pStyle w:val="Heading2"/>
      </w:pPr>
      <w:r>
        <w:t>Pressure order be small become.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Career represent stop itself house common.</w:t>
      </w:r>
    </w:p>
    <w:p>
      <w:r>
        <w:t>- Evening left mean.</w:t>
      </w:r>
    </w:p>
    <w:p>
      <w:r>
        <w:t>- Old pattern responsibility visit fall improve offer collection.</w:t>
      </w:r>
    </w:p>
    <w:p>
      <w:r>
        <w:t>[1] Ashley Moore, Campbell-Taylor (2019)</w:t>
      </w:r>
    </w:p>
    <w:p>
      <w:r>
        <w:t>Footnote: Case without during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