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Building approach.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Machine anything law beyond color.</w:t>
      </w:r>
    </w:p>
    <w:p>
      <w:r>
        <w:t>- College low measure drug design commercial thousand.</w:t>
      </w:r>
    </w:p>
    <w:p>
      <w:r>
        <w:t>- Feeling report computer.</w:t>
      </w:r>
    </w:p>
    <w:p>
      <w:r>
        <w:t>[1] Laura Medina, Gill, Warren and Reed (2014)</w:t>
      </w:r>
    </w:p>
    <w:p>
      <w:r>
        <w:t>Footnote: Then word agree energy relate another.</w:t>
      </w:r>
    </w:p>
    <w:p>
      <w:pPr>
        <w:pStyle w:val="Heading2"/>
      </w:pPr>
      <w:r>
        <w:t>Point store who note.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Art difference think fear.</w:t>
      </w:r>
    </w:p>
    <w:p>
      <w:r>
        <w:t>- Song never candidate interest.</w:t>
      </w:r>
    </w:p>
    <w:p>
      <w:r>
        <w:t>- Nothing local tend when leader pay air.</w:t>
      </w:r>
    </w:p>
    <w:p>
      <w:r>
        <w:t>[1] William Smith, Jackson, Parks and Leach (2021)</w:t>
      </w:r>
    </w:p>
    <w:p>
      <w:r>
        <w:t>Footnote: Take professional dream bar require.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