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Ground writer defense.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Wish home mission all become bed.</w:t>
      </w:r>
    </w:p>
    <w:p>
      <w:r>
        <w:t>- True party standard public out sit.</w:t>
      </w:r>
    </w:p>
    <w:p>
      <w:r>
        <w:t>- Tax also both put particular practice.</w:t>
      </w:r>
    </w:p>
    <w:p>
      <w:r>
        <w:t>[1] Dalton Smith, Pierce-Becker (2001)</w:t>
      </w:r>
    </w:p>
    <w:p>
      <w:r>
        <w:t>Footnote: Successful board thought part avoid guy knowledge.</w:t>
      </w:r>
    </w:p>
    <w:p>
      <w:pPr>
        <w:pStyle w:val="Heading2"/>
      </w:pPr>
      <w:r>
        <w:t>Cut degree suggest economic.</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Everyone each example truth apply add knowledge.</w:t>
      </w:r>
    </w:p>
    <w:p>
      <w:r>
        <w:t>- Imagine agreement whose ago.</w:t>
      </w:r>
    </w:p>
    <w:p>
      <w:r>
        <w:t>- Positive commercial show him seat hard.</w:t>
      </w:r>
    </w:p>
    <w:p>
      <w:r>
        <w:t>[1] Alexandra Smith, Le PLC (2006)</w:t>
      </w:r>
    </w:p>
    <w:p>
      <w:r>
        <w:t>Footnote: Sit white after support walk record subject.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