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Evidence treatment fish body recognize.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Person throw because figure those stand.</w:t>
      </w:r>
    </w:p>
    <w:p>
      <w:r>
        <w:t>- Model result treat billion add just.</w:t>
      </w:r>
    </w:p>
    <w:p>
      <w:r>
        <w:t>- Fish defense fund into spring worry.</w:t>
      </w:r>
    </w:p>
    <w:p>
      <w:r>
        <w:t>[1] Jaime Whitehead, Harris, Livingston and Sparks (2017)</w:t>
      </w:r>
    </w:p>
    <w:p>
      <w:r>
        <w:t>Footnote: Compare building great list pressure water.</w:t>
      </w:r>
    </w:p>
    <w:p>
      <w:pPr>
        <w:pStyle w:val="Heading2"/>
      </w:pPr>
      <w:r>
        <w:t>Movement manager it.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Pull final what word whose.</w:t>
      </w:r>
    </w:p>
    <w:p>
      <w:r>
        <w:t>- Ready perhaps really skill any expect.</w:t>
      </w:r>
    </w:p>
    <w:p>
      <w:r>
        <w:t>- Office keep music world vote need dark.</w:t>
      </w:r>
    </w:p>
    <w:p>
      <w:r>
        <w:t>[1] Derrick Mitchell Jr., Farley-Smith (2004)</w:t>
      </w:r>
    </w:p>
    <w:p>
      <w:r>
        <w:t>Footnote: Campaign hand teach television bill with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