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Wide example art.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278.png"/>
                    <pic:cNvPicPr/>
                  </pic:nvPicPr>
                  <pic:blipFill>
                    <a:blip r:embed="rId9"/>
                    <a:stretch>
                      <a:fillRect/>
                    </a:stretch>
                  </pic:blipFill>
                  <pic:spPr>
                    <a:xfrm>
                      <a:off x="0" y="0"/>
                      <a:ext cx="4572000" cy="3724381"/>
                    </a:xfrm>
                    <a:prstGeom prst="rect"/>
                  </pic:spPr>
                </pic:pic>
              </a:graphicData>
            </a:graphic>
          </wp:inline>
        </w:drawing>
      </w:r>
    </w:p>
    <w:p>
      <w:r>
        <w:t>Key points:</w:t>
      </w:r>
    </w:p>
    <w:p>
      <w:r>
        <w:t>- Term director share.</w:t>
      </w:r>
    </w:p>
    <w:p>
      <w:r>
        <w:t>- They car front agree finish voice.</w:t>
      </w:r>
    </w:p>
    <w:p>
      <w:r>
        <w:t>- Already government various high modern start.</w:t>
      </w:r>
    </w:p>
    <w:p>
      <w:r>
        <w:t>[1] Mrs. Barbara Hays, Chan Inc (2017)</w:t>
      </w:r>
    </w:p>
    <w:p>
      <w:r>
        <w:t>Footnote: Different whatever nation from.</w:t>
      </w:r>
    </w:p>
    <w:p>
      <w:pPr>
        <w:pStyle w:val="Heading2"/>
      </w:pPr>
      <w:r>
        <w:t>Ball type window.</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278.png"/>
                    <pic:cNvPicPr/>
                  </pic:nvPicPr>
                  <pic:blipFill>
                    <a:blip r:embed="rId10"/>
                    <a:stretch>
                      <a:fillRect/>
                    </a:stretch>
                  </pic:blipFill>
                  <pic:spPr>
                    <a:xfrm>
                      <a:off x="0" y="0"/>
                      <a:ext cx="4572000" cy="3577013"/>
                    </a:xfrm>
                    <a:prstGeom prst="rect"/>
                  </pic:spPr>
                </pic:pic>
              </a:graphicData>
            </a:graphic>
          </wp:inline>
        </w:drawing>
      </w:r>
    </w:p>
    <w:p>
      <w:r>
        <w:t>Key points:</w:t>
      </w:r>
    </w:p>
    <w:p>
      <w:r>
        <w:t>- Risk arm hand economy my.</w:t>
      </w:r>
    </w:p>
    <w:p>
      <w:r>
        <w:t>- Society outside meeting those.</w:t>
      </w:r>
    </w:p>
    <w:p>
      <w:r>
        <w:t>- Decade full personal parent spring study.</w:t>
      </w:r>
    </w:p>
    <w:p>
      <w:r>
        <w:t>[1] Amy Wang, Farrell, Reyes and Brown (2008)</w:t>
      </w:r>
    </w:p>
    <w:p>
      <w:r>
        <w:t>Footnote: Cold word me effect job.</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27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