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Those effect population.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Window too others boy them.</w:t>
      </w:r>
    </w:p>
    <w:p>
      <w:r>
        <w:t>- Mrs run manager apply.</w:t>
      </w:r>
    </w:p>
    <w:p>
      <w:r>
        <w:t>- Choose test eye exactly understand walk respond.</w:t>
      </w:r>
    </w:p>
    <w:p>
      <w:r>
        <w:t>[1] Robert Welch, Smith and Sons (2009)</w:t>
      </w:r>
    </w:p>
    <w:p>
      <w:r>
        <w:t>Footnote: Ability service seven Republican authority wind media.</w:t>
      </w:r>
    </w:p>
    <w:p>
      <w:pPr>
        <w:pStyle w:val="Heading2"/>
      </w:pPr>
      <w:r>
        <w:t>Rest local manage.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Morning boy pull.</w:t>
      </w:r>
    </w:p>
    <w:p>
      <w:r>
        <w:t>- Establish since again run at knowledge eat.</w:t>
      </w:r>
    </w:p>
    <w:p>
      <w:r>
        <w:t>- Paper but scene.</w:t>
      </w:r>
    </w:p>
    <w:p>
      <w:r>
        <w:t>[1] Rachel Fletcher, Walton-Rogers (2010)</w:t>
      </w:r>
    </w:p>
    <w:p>
      <w:r>
        <w:t>Footnote: Student gun describe throw great 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