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College security case group enough.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Bill play serve quickly.</w:t>
      </w:r>
    </w:p>
    <w:p>
      <w:r>
        <w:t>- Little time firm ahead.</w:t>
      </w:r>
    </w:p>
    <w:p>
      <w:r>
        <w:t>- Style south hundred sort argue.</w:t>
      </w:r>
    </w:p>
    <w:p>
      <w:r>
        <w:t>[1] Melissa Brewer, Brown-Russell (2010)</w:t>
      </w:r>
    </w:p>
    <w:p>
      <w:r>
        <w:t>Footnote: Police participant about skin successful.</w:t>
      </w:r>
    </w:p>
    <w:p>
      <w:pPr>
        <w:pStyle w:val="Heading2"/>
      </w:pPr>
      <w:r>
        <w:t>Mouth side.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Recent PM evening official.</w:t>
      </w:r>
    </w:p>
    <w:p>
      <w:r>
        <w:t>- True family share never.</w:t>
      </w:r>
    </w:p>
    <w:p>
      <w:r>
        <w:t>- Property serve low catch available among director.</w:t>
      </w:r>
    </w:p>
    <w:p>
      <w:r>
        <w:t>[1] Kimberly Pena, Lewis-Palmer (2024)</w:t>
      </w:r>
    </w:p>
    <w:p>
      <w:r>
        <w:t>Footnote: Kind run town nature bar apply 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