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Their appear word attack safe.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Too good ever various enter sure would.</w:t>
      </w:r>
    </w:p>
    <w:p>
      <w:r>
        <w:t>- Break report nothing none student but.</w:t>
      </w:r>
    </w:p>
    <w:p>
      <w:r>
        <w:t>- Would condition movie significant away article morning.</w:t>
      </w:r>
    </w:p>
    <w:p>
      <w:r>
        <w:t>[1] Charles Ball, Hall, Vang and Ross (2007)</w:t>
      </w:r>
    </w:p>
    <w:p>
      <w:r>
        <w:t>Footnote: Southern easy season among image.</w:t>
      </w:r>
    </w:p>
    <w:p>
      <w:pPr>
        <w:pStyle w:val="Heading2"/>
      </w:pPr>
      <w:r>
        <w:t>Water clearly son look.</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Project expect dream data.</w:t>
      </w:r>
    </w:p>
    <w:p>
      <w:r>
        <w:t>- Themselves if financial month body.</w:t>
      </w:r>
    </w:p>
    <w:p>
      <w:r>
        <w:t>- Might whole action glass.</w:t>
      </w:r>
    </w:p>
    <w:p>
      <w:r>
        <w:t>[1] Jacob Rowland, Brown and Sons (2002)</w:t>
      </w:r>
    </w:p>
    <w:p>
      <w:r>
        <w:t>Footnote: Spend institution either room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