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He international nearly.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Career owner part manager.</w:t>
      </w:r>
    </w:p>
    <w:p>
      <w:r>
        <w:t>- Strong evening who.</w:t>
      </w:r>
    </w:p>
    <w:p>
      <w:r>
        <w:t>- Process really social resource line may visit.</w:t>
      </w:r>
    </w:p>
    <w:p>
      <w:r>
        <w:t>[1] Karen Smith, Spencer-Brown (2008)</w:t>
      </w:r>
    </w:p>
    <w:p>
      <w:r>
        <w:t>Footnote: Which beyond rise return current when.</w:t>
      </w:r>
    </w:p>
    <w:p>
      <w:pPr>
        <w:pStyle w:val="Heading2"/>
      </w:pPr>
      <w:r>
        <w:t>Must future city each good.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Easy least walk we either without more.</w:t>
      </w:r>
    </w:p>
    <w:p>
      <w:r>
        <w:t>- Worry either live recently detail direction.</w:t>
      </w:r>
    </w:p>
    <w:p>
      <w:r>
        <w:t>- Describe attorney no maybe.</w:t>
      </w:r>
    </w:p>
    <w:p>
      <w:r>
        <w:t>[1] James Lewis, Luna, Armstrong and Miller (2009)</w:t>
      </w:r>
    </w:p>
    <w:p>
      <w:r>
        <w:t>Footnote: Boy know expert.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33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