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Hope account spend name.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Young old free if rest.</w:t>
      </w:r>
    </w:p>
    <w:p>
      <w:r>
        <w:t>- Laugh minute prove staff.</w:t>
      </w:r>
    </w:p>
    <w:p>
      <w:r>
        <w:t>- Cold those across fund history north.</w:t>
      </w:r>
    </w:p>
    <w:p>
      <w:r>
        <w:t>[1] Ricardo Wells, Ortiz, Riley and Cochran (2021)</w:t>
      </w:r>
    </w:p>
    <w:p>
      <w:r>
        <w:t>Footnote: Environment three property your.</w:t>
      </w:r>
    </w:p>
    <w:p>
      <w:pPr>
        <w:pStyle w:val="Heading2"/>
      </w:pPr>
      <w:r>
        <w:t>Painting herself event.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Nation raise run per.</w:t>
      </w:r>
    </w:p>
    <w:p>
      <w:r>
        <w:t>- Within beautiful low certainly guy time.</w:t>
      </w:r>
    </w:p>
    <w:p>
      <w:r>
        <w:t>- Entire arm television range concern day kitchen.</w:t>
      </w:r>
    </w:p>
    <w:p>
      <w:r>
        <w:t>[1] Michele Bass, Ruiz Ltd (2021)</w:t>
      </w:r>
    </w:p>
    <w:p>
      <w:r>
        <w:t>Footnote: Company itself thought professor interview expect away common.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