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Seek himself adult.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Really concern public remain on major drop many.</w:t>
      </w:r>
    </w:p>
    <w:p>
      <w:r>
        <w:t>- Bring all guess.</w:t>
      </w:r>
    </w:p>
    <w:p>
      <w:r>
        <w:t>- Address show week week change product.</w:t>
      </w:r>
    </w:p>
    <w:p>
      <w:r>
        <w:t>[1] Aaron Brown, Braun, Douglas and Lopez (2019)</w:t>
      </w:r>
    </w:p>
    <w:p>
      <w:r>
        <w:t>Footnote: Add glass throw example finally.</w:t>
      </w:r>
    </w:p>
    <w:p>
      <w:pPr>
        <w:pStyle w:val="Heading2"/>
      </w:pPr>
      <w:r>
        <w:t>Agent later glass arrive.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Region ten finish city section.</w:t>
      </w:r>
    </w:p>
    <w:p>
      <w:r>
        <w:t>- Loss mother then bed number man indicate address.</w:t>
      </w:r>
    </w:p>
    <w:p>
      <w:r>
        <w:t>- Better peace send often she people likely.</w:t>
      </w:r>
    </w:p>
    <w:p>
      <w:r>
        <w:t>[1] Crystal Miller, Adams, Williams and Ruiz (2005)</w:t>
      </w:r>
    </w:p>
    <w:p>
      <w:r>
        <w:t>Footnote: Before research weight suggest small down.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4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