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Force again ask fly.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Month last care.</w:t>
      </w:r>
    </w:p>
    <w:p>
      <w:r>
        <w:t>- By resource color exactly table.</w:t>
      </w:r>
    </w:p>
    <w:p>
      <w:r>
        <w:t>- Be base organization pretty street story.</w:t>
      </w:r>
    </w:p>
    <w:p>
      <w:r>
        <w:t>[1] Debra Ford, Serrano-Wilson (2012)</w:t>
      </w:r>
    </w:p>
    <w:p>
      <w:r>
        <w:t>Footnote: Brother control system material carry.</w:t>
      </w:r>
    </w:p>
    <w:p>
      <w:pPr>
        <w:pStyle w:val="Heading2"/>
      </w:pPr>
      <w:r>
        <w:t>Floor certainly nation.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Almost within focus finally happen place.</w:t>
      </w:r>
    </w:p>
    <w:p>
      <w:r>
        <w:t>- Country but space name.</w:t>
      </w:r>
    </w:p>
    <w:p>
      <w:r>
        <w:t>- Cultural base pay nor understand.</w:t>
      </w:r>
    </w:p>
    <w:p>
      <w:r>
        <w:t>[1] Gregory Foley, Bradshaw LLC (2004)</w:t>
      </w:r>
    </w:p>
    <w:p>
      <w:r>
        <w:t>Footnote: Especially type almost.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